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7242E" w:rsidRDefault="00000000">
      <w:pPr>
        <w:pStyle w:val="Heading1"/>
        <w:keepNext w:val="0"/>
        <w:keepLines w:val="0"/>
        <w:spacing w:before="240" w:after="240"/>
        <w:rPr>
          <w:b/>
          <w:bCs/>
          <w:sz w:val="46"/>
          <w:szCs w:val="46"/>
        </w:rPr>
      </w:pPr>
      <w:bookmarkStart w:id="0" w:name="_whpke7s7lo8p" w:colFirst="0" w:colLast="0"/>
      <w:bookmarkEnd w:id="0"/>
      <w:r>
        <w:rPr>
          <w:b/>
          <w:bCs/>
          <w:sz w:val="46"/>
          <w:szCs w:val="46"/>
        </w:rPr>
        <w:t>SWOT Analysis: Quenchbliss Craft Soda Company</w:t>
      </w:r>
    </w:p>
    <w:p w:rsidR="00E7242E" w:rsidRDefault="00000000">
      <w:pPr>
        <w:spacing w:before="120" w:after="120"/>
      </w:pPr>
      <w:r>
        <w:rPr>
          <w:b/>
          <w:bCs/>
        </w:rPr>
        <w:t>Date:</w:t>
      </w:r>
      <w:r>
        <w:t xml:space="preserve"> May 13, 2026</w:t>
      </w:r>
    </w:p>
    <w:p w:rsidR="00E7242E" w:rsidRDefault="00000000">
      <w:pPr>
        <w:spacing w:before="120" w:after="120"/>
      </w:pPr>
      <w:r>
        <w:rPr>
          <w:b/>
          <w:bCs/>
        </w:rPr>
        <w:t>Course:</w:t>
      </w:r>
      <w:r>
        <w:t xml:space="preserve"> Organizational Behavior</w:t>
      </w:r>
    </w:p>
    <w:p w:rsidR="00E7242E" w:rsidRDefault="00000000">
      <w:pPr>
        <w:spacing w:before="120" w:after="120"/>
      </w:pPr>
      <w:r>
        <w:rPr>
          <w:b/>
          <w:bCs/>
        </w:rPr>
        <w:t>Assignment:</w:t>
      </w:r>
      <w:r>
        <w:t xml:space="preserve"> SWOT Analysis – Quenchbliss</w:t>
      </w:r>
    </w:p>
    <w:p w:rsidR="00E7242E" w:rsidRDefault="0096123A">
      <w:r>
        <w:rPr>
          <w:noProof/>
        </w:rPr>
        <w:pict w14:anchorId="1FB8D601">
          <v:rect id="_x0000_i1028" alt="" style="width:468pt;height:.05pt;mso-width-percent:0;mso-height-percent:0;mso-width-percent:0;mso-height-percent:0" o:hralign="center" o:hrstd="t" o:hr="t" fillcolor="#a0a0a0" stroked="f"/>
        </w:pict>
      </w:r>
    </w:p>
    <w:p w:rsidR="00E7242E" w:rsidRDefault="00000000">
      <w:pPr>
        <w:pStyle w:val="Heading1"/>
        <w:keepNext w:val="0"/>
        <w:keepLines w:val="0"/>
        <w:spacing w:before="460" w:after="240"/>
        <w:rPr>
          <w:b/>
          <w:bCs/>
          <w:sz w:val="46"/>
          <w:szCs w:val="46"/>
        </w:rPr>
      </w:pPr>
      <w:bookmarkStart w:id="1" w:name="_89f152u0ab4x" w:colFirst="0" w:colLast="0"/>
      <w:bookmarkEnd w:id="1"/>
      <w:r>
        <w:rPr>
          <w:b/>
          <w:bCs/>
          <w:sz w:val="46"/>
          <w:szCs w:val="46"/>
        </w:rPr>
        <w:t>SWOT Analysis</w:t>
      </w:r>
    </w:p>
    <w:tbl>
      <w:tblPr>
        <w:tblStyle w:val="a"/>
        <w:tblW w:w="10252"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52"/>
        <w:gridCol w:w="7200"/>
      </w:tblGrid>
      <w:tr w:rsidR="00E7242E" w:rsidTr="00242EEC">
        <w:trPr>
          <w:trHeight w:val="3044"/>
        </w:trPr>
        <w:tc>
          <w:tcPr>
            <w:tcW w:w="3052" w:type="dxa"/>
            <w:tcBorders>
              <w:top w:val="single" w:sz="6" w:space="0" w:color="E0E0E0"/>
              <w:left w:val="single" w:sz="6" w:space="0" w:color="E0E0E0"/>
              <w:bottom w:val="single" w:sz="6" w:space="0" w:color="E0E0E0"/>
              <w:right w:val="single" w:sz="6" w:space="0" w:color="E0E0E0"/>
            </w:tcBorders>
            <w:tcMar>
              <w:top w:w="100" w:type="dxa"/>
              <w:left w:w="100" w:type="dxa"/>
              <w:bottom w:w="100" w:type="dxa"/>
              <w:right w:w="100" w:type="dxa"/>
            </w:tcMar>
          </w:tcPr>
          <w:p w:rsidR="00E7242E" w:rsidRDefault="00000000">
            <w:r>
              <w:t>Quenchbliss has a strong brand identity built around unusual and seasonal soda flavors, which helps the company stand out in the growing craft beverage industry. Their unique products create strong social media engagement and customer curiosity.</w:t>
            </w:r>
          </w:p>
        </w:tc>
        <w:tc>
          <w:tcPr>
            <w:tcW w:w="7200" w:type="dxa"/>
            <w:tcBorders>
              <w:top w:val="single" w:sz="6" w:space="0" w:color="E0E0E0"/>
              <w:left w:val="single" w:sz="6" w:space="0" w:color="E0E0E0"/>
              <w:bottom w:val="single" w:sz="6" w:space="0" w:color="E0E0E0"/>
              <w:right w:val="single" w:sz="6" w:space="0" w:color="E0E0E0"/>
            </w:tcBorders>
            <w:tcMar>
              <w:top w:w="100" w:type="dxa"/>
              <w:left w:w="100" w:type="dxa"/>
              <w:bottom w:w="100" w:type="dxa"/>
              <w:right w:w="100" w:type="dxa"/>
            </w:tcMar>
          </w:tcPr>
          <w:p w:rsidR="00E7242E" w:rsidRDefault="00000000">
            <w:r>
              <w:t>The company’s flat and highly organic structure creates role confusion and inefficiency. Employees “do a little bit of everything,” which can reduce accountability and create operational instability as the business grows.</w:t>
            </w:r>
          </w:p>
        </w:tc>
      </w:tr>
      <w:tr w:rsidR="00E7242E" w:rsidTr="00242EEC">
        <w:trPr>
          <w:trHeight w:val="2510"/>
        </w:trPr>
        <w:tc>
          <w:tcPr>
            <w:tcW w:w="3052" w:type="dxa"/>
            <w:tcBorders>
              <w:top w:val="nil"/>
              <w:left w:val="single" w:sz="6" w:space="0" w:color="E0E0E0"/>
              <w:bottom w:val="single" w:sz="6" w:space="0" w:color="E0E0E0"/>
              <w:right w:val="single" w:sz="6" w:space="0" w:color="E0E0E0"/>
            </w:tcBorders>
            <w:tcMar>
              <w:top w:w="100" w:type="dxa"/>
              <w:left w:w="100" w:type="dxa"/>
              <w:bottom w:w="100" w:type="dxa"/>
              <w:right w:w="100" w:type="dxa"/>
            </w:tcMar>
          </w:tcPr>
          <w:p w:rsidR="00E7242E" w:rsidRDefault="00000000">
            <w:r>
              <w:t>The company has diversified revenue streams through subscriptions, retail sales, restaurant distribution, and merchandise, reducing dependence on a single source of income.</w:t>
            </w:r>
          </w:p>
        </w:tc>
        <w:tc>
          <w:tcPr>
            <w:tcW w:w="7200" w:type="dxa"/>
            <w:tcBorders>
              <w:top w:val="nil"/>
              <w:left w:val="single" w:sz="6" w:space="0" w:color="E0E0E0"/>
              <w:bottom w:val="single" w:sz="6" w:space="0" w:color="E0E0E0"/>
              <w:right w:val="single" w:sz="6" w:space="0" w:color="E0E0E0"/>
            </w:tcBorders>
            <w:tcMar>
              <w:top w:w="100" w:type="dxa"/>
              <w:left w:w="100" w:type="dxa"/>
              <w:bottom w:w="100" w:type="dxa"/>
              <w:right w:w="100" w:type="dxa"/>
            </w:tcMar>
          </w:tcPr>
          <w:p w:rsidR="00E7242E" w:rsidRDefault="00000000">
            <w:r>
              <w:t>Employee salaries are not competitive with the local labor market, making recruitment difficult and contributing to high turnover in warehouse and distribution roles. According to the U.S. Bureau of Labor Statistics (2025), transportation and production wages have increased nationally, increasing labor competition.</w:t>
            </w:r>
          </w:p>
        </w:tc>
      </w:tr>
      <w:tr w:rsidR="00E7242E" w:rsidTr="00242EEC">
        <w:trPr>
          <w:trHeight w:val="2240"/>
        </w:trPr>
        <w:tc>
          <w:tcPr>
            <w:tcW w:w="3052" w:type="dxa"/>
            <w:tcBorders>
              <w:top w:val="nil"/>
              <w:left w:val="single" w:sz="6" w:space="0" w:color="E0E0E0"/>
              <w:bottom w:val="single" w:sz="6" w:space="0" w:color="E0E0E0"/>
              <w:right w:val="single" w:sz="6" w:space="0" w:color="E0E0E0"/>
            </w:tcBorders>
            <w:tcMar>
              <w:top w:w="100" w:type="dxa"/>
              <w:left w:w="100" w:type="dxa"/>
              <w:bottom w:w="100" w:type="dxa"/>
              <w:right w:w="100" w:type="dxa"/>
            </w:tcMar>
          </w:tcPr>
          <w:p w:rsidR="00E7242E" w:rsidRDefault="00000000">
            <w:r>
              <w:t>Quenchbliss successfully expanded into Juarez, Mexico, demonstrating the company’s ability to enter international markets with limited competition and strong customer demand.</w:t>
            </w:r>
          </w:p>
        </w:tc>
        <w:tc>
          <w:tcPr>
            <w:tcW w:w="7200" w:type="dxa"/>
            <w:tcBorders>
              <w:top w:val="nil"/>
              <w:left w:val="single" w:sz="6" w:space="0" w:color="E0E0E0"/>
              <w:bottom w:val="single" w:sz="6" w:space="0" w:color="E0E0E0"/>
              <w:right w:val="single" w:sz="6" w:space="0" w:color="E0E0E0"/>
            </w:tcBorders>
            <w:tcMar>
              <w:top w:w="100" w:type="dxa"/>
              <w:left w:w="100" w:type="dxa"/>
              <w:bottom w:w="100" w:type="dxa"/>
              <w:right w:w="100" w:type="dxa"/>
            </w:tcMar>
          </w:tcPr>
          <w:p w:rsidR="00E7242E" w:rsidRDefault="00000000">
            <w:r>
              <w:t>Rapid expansion efforts caused the company to lose focus on existing customers, leading to a lost restaurant contract and declining subscription sales.</w:t>
            </w:r>
          </w:p>
        </w:tc>
      </w:tr>
      <w:tr w:rsidR="00E7242E" w:rsidTr="00242EEC">
        <w:trPr>
          <w:trHeight w:val="2501"/>
        </w:trPr>
        <w:tc>
          <w:tcPr>
            <w:tcW w:w="3052" w:type="dxa"/>
            <w:tcBorders>
              <w:top w:val="nil"/>
              <w:left w:val="single" w:sz="6" w:space="0" w:color="E0E0E0"/>
              <w:bottom w:val="single" w:sz="6" w:space="0" w:color="E0E0E0"/>
              <w:right w:val="single" w:sz="6" w:space="0" w:color="E0E0E0"/>
            </w:tcBorders>
            <w:tcMar>
              <w:top w:w="100" w:type="dxa"/>
              <w:left w:w="100" w:type="dxa"/>
              <w:bottom w:w="100" w:type="dxa"/>
              <w:right w:w="100" w:type="dxa"/>
            </w:tcMar>
          </w:tcPr>
          <w:p w:rsidR="00E7242E" w:rsidRDefault="00000000">
            <w:r>
              <w:lastRenderedPageBreak/>
              <w:t>The company’s creative and flexible culture encourages innovation and rapid product development. This adaptability supports continuous release of new flavors to match customer expectations.</w:t>
            </w:r>
          </w:p>
        </w:tc>
        <w:tc>
          <w:tcPr>
            <w:tcW w:w="7200" w:type="dxa"/>
            <w:tcBorders>
              <w:top w:val="nil"/>
              <w:left w:val="single" w:sz="6" w:space="0" w:color="E0E0E0"/>
              <w:bottom w:val="single" w:sz="6" w:space="0" w:color="E0E0E0"/>
              <w:right w:val="single" w:sz="6" w:space="0" w:color="E0E0E0"/>
            </w:tcBorders>
            <w:tcMar>
              <w:top w:w="100" w:type="dxa"/>
              <w:left w:w="100" w:type="dxa"/>
              <w:bottom w:w="100" w:type="dxa"/>
              <w:right w:w="100" w:type="dxa"/>
            </w:tcMar>
          </w:tcPr>
          <w:p w:rsidR="00E7242E" w:rsidRDefault="00000000">
            <w:r>
              <w:t>Internal friction has developed because some employees supported continued expansion while leadership redirected resources toward product development. This conflict may negatively affect morale and organizational culture.</w:t>
            </w:r>
          </w:p>
        </w:tc>
      </w:tr>
    </w:tbl>
    <w:p w:rsidR="00E7242E" w:rsidRDefault="00E7242E"/>
    <w:tbl>
      <w:tblPr>
        <w:tblStyle w:val="a0"/>
        <w:tblW w:w="10252"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42"/>
        <w:gridCol w:w="7110"/>
      </w:tblGrid>
      <w:tr w:rsidR="00E7242E" w:rsidTr="00242EEC">
        <w:trPr>
          <w:trHeight w:val="4130"/>
        </w:trPr>
        <w:tc>
          <w:tcPr>
            <w:tcW w:w="3142" w:type="dxa"/>
            <w:tcBorders>
              <w:top w:val="single" w:sz="6" w:space="0" w:color="E0E0E0"/>
              <w:left w:val="single" w:sz="6" w:space="0" w:color="E0E0E0"/>
              <w:bottom w:val="single" w:sz="6" w:space="0" w:color="E0E0E0"/>
              <w:right w:val="single" w:sz="6" w:space="0" w:color="E0E0E0"/>
            </w:tcBorders>
            <w:tcMar>
              <w:top w:w="100" w:type="dxa"/>
              <w:left w:w="100" w:type="dxa"/>
              <w:bottom w:w="100" w:type="dxa"/>
              <w:right w:w="100" w:type="dxa"/>
            </w:tcMar>
          </w:tcPr>
          <w:p w:rsidR="00E7242E" w:rsidRDefault="00000000">
            <w:r>
              <w:t>The global craft soda market continues to grow as consumers seek premium and unique beverages. Grand View Research (2025) reported continued growth in specialty and craft beverage demand, especially among younger consumers interested in novelty products.</w:t>
            </w:r>
          </w:p>
        </w:tc>
        <w:tc>
          <w:tcPr>
            <w:tcW w:w="7110" w:type="dxa"/>
            <w:tcBorders>
              <w:top w:val="single" w:sz="6" w:space="0" w:color="E0E0E0"/>
              <w:left w:val="single" w:sz="6" w:space="0" w:color="E0E0E0"/>
              <w:bottom w:val="single" w:sz="6" w:space="0" w:color="E0E0E0"/>
              <w:right w:val="single" w:sz="6" w:space="0" w:color="E0E0E0"/>
            </w:tcBorders>
            <w:tcMar>
              <w:top w:w="100" w:type="dxa"/>
              <w:left w:w="100" w:type="dxa"/>
              <w:bottom w:w="100" w:type="dxa"/>
              <w:right w:w="100" w:type="dxa"/>
            </w:tcMar>
          </w:tcPr>
          <w:p w:rsidR="00E7242E" w:rsidRDefault="00000000">
            <w:r>
              <w:t>Large beverage companies and established craft soda brands create strong competitive pressure. National brands have larger advertising budgets, stronger supply chains, and broader retail access.</w:t>
            </w:r>
          </w:p>
        </w:tc>
      </w:tr>
      <w:tr w:rsidR="00E7242E" w:rsidTr="00242EEC">
        <w:trPr>
          <w:trHeight w:val="1610"/>
        </w:trPr>
        <w:tc>
          <w:tcPr>
            <w:tcW w:w="3142" w:type="dxa"/>
            <w:tcBorders>
              <w:top w:val="nil"/>
              <w:left w:val="single" w:sz="6" w:space="0" w:color="E0E0E0"/>
              <w:bottom w:val="single" w:sz="6" w:space="0" w:color="E0E0E0"/>
              <w:right w:val="single" w:sz="6" w:space="0" w:color="E0E0E0"/>
            </w:tcBorders>
            <w:tcMar>
              <w:top w:w="100" w:type="dxa"/>
              <w:left w:w="100" w:type="dxa"/>
              <w:bottom w:w="100" w:type="dxa"/>
              <w:right w:w="100" w:type="dxa"/>
            </w:tcMar>
          </w:tcPr>
          <w:p w:rsidR="00E7242E" w:rsidRDefault="00000000">
            <w:r>
              <w:t>Expansion into additional international markets such as the Dominican Republic and Jamaica could provide growth opportunities because craft soda competition remains limited in some Caribbean markets.</w:t>
            </w:r>
          </w:p>
        </w:tc>
        <w:tc>
          <w:tcPr>
            <w:tcW w:w="7110" w:type="dxa"/>
            <w:tcBorders>
              <w:top w:val="nil"/>
              <w:left w:val="single" w:sz="6" w:space="0" w:color="E0E0E0"/>
              <w:bottom w:val="single" w:sz="6" w:space="0" w:color="E0E0E0"/>
              <w:right w:val="single" w:sz="6" w:space="0" w:color="E0E0E0"/>
            </w:tcBorders>
            <w:tcMar>
              <w:top w:w="100" w:type="dxa"/>
              <w:left w:w="100" w:type="dxa"/>
              <w:bottom w:w="100" w:type="dxa"/>
              <w:right w:w="100" w:type="dxa"/>
            </w:tcMar>
          </w:tcPr>
          <w:p w:rsidR="00E7242E" w:rsidRDefault="00000000">
            <w:r>
              <w:t>Consumer tastes can change quickly in novelty food and beverage markets. If unusual flavors lose popularity, Quenchbliss could experience declining sales and reduced customer engagement.</w:t>
            </w:r>
          </w:p>
        </w:tc>
      </w:tr>
      <w:tr w:rsidR="00E7242E" w:rsidTr="00242EEC">
        <w:trPr>
          <w:trHeight w:val="2600"/>
        </w:trPr>
        <w:tc>
          <w:tcPr>
            <w:tcW w:w="3142" w:type="dxa"/>
            <w:tcBorders>
              <w:top w:val="nil"/>
              <w:left w:val="single" w:sz="6" w:space="0" w:color="E0E0E0"/>
              <w:bottom w:val="single" w:sz="6" w:space="0" w:color="E0E0E0"/>
              <w:right w:val="single" w:sz="6" w:space="0" w:color="E0E0E0"/>
            </w:tcBorders>
            <w:tcMar>
              <w:top w:w="100" w:type="dxa"/>
              <w:left w:w="100" w:type="dxa"/>
              <w:bottom w:w="100" w:type="dxa"/>
              <w:right w:w="100" w:type="dxa"/>
            </w:tcMar>
          </w:tcPr>
          <w:p w:rsidR="00E7242E" w:rsidRDefault="00000000">
            <w:r>
              <w:t>Tourism and entertainment activity in downtown El Paso continues to support retail traffic for specialty food and beverage businesses. Increased local tourism could bring additional customers into the attached retail store.</w:t>
            </w:r>
          </w:p>
        </w:tc>
        <w:tc>
          <w:tcPr>
            <w:tcW w:w="7110" w:type="dxa"/>
            <w:tcBorders>
              <w:top w:val="nil"/>
              <w:left w:val="single" w:sz="6" w:space="0" w:color="E0E0E0"/>
              <w:bottom w:val="single" w:sz="6" w:space="0" w:color="E0E0E0"/>
              <w:right w:val="single" w:sz="6" w:space="0" w:color="E0E0E0"/>
            </w:tcBorders>
            <w:tcMar>
              <w:top w:w="100" w:type="dxa"/>
              <w:left w:w="100" w:type="dxa"/>
              <w:bottom w:w="100" w:type="dxa"/>
              <w:right w:w="100" w:type="dxa"/>
            </w:tcMar>
          </w:tcPr>
          <w:p w:rsidR="00E7242E" w:rsidRDefault="00000000">
            <w:r>
              <w:t>Inflation and rising supply chain costs continue to affect food and beverage companies. The U.S. Chamber of Commerce (2025) noted that labor shortages and transportation costs remain significant challenges for small businesses.</w:t>
            </w:r>
          </w:p>
        </w:tc>
      </w:tr>
      <w:tr w:rsidR="00E7242E" w:rsidTr="00242EEC">
        <w:trPr>
          <w:trHeight w:val="2591"/>
        </w:trPr>
        <w:tc>
          <w:tcPr>
            <w:tcW w:w="3142" w:type="dxa"/>
            <w:tcBorders>
              <w:top w:val="nil"/>
              <w:left w:val="single" w:sz="6" w:space="0" w:color="E0E0E0"/>
              <w:bottom w:val="single" w:sz="6" w:space="0" w:color="E0E0E0"/>
              <w:right w:val="single" w:sz="6" w:space="0" w:color="E0E0E0"/>
            </w:tcBorders>
            <w:tcMar>
              <w:top w:w="100" w:type="dxa"/>
              <w:left w:w="100" w:type="dxa"/>
              <w:bottom w:w="100" w:type="dxa"/>
              <w:right w:w="100" w:type="dxa"/>
            </w:tcMar>
          </w:tcPr>
          <w:p w:rsidR="00E7242E" w:rsidRDefault="00000000">
            <w:r>
              <w:lastRenderedPageBreak/>
              <w:t xml:space="preserve">The growing popularity of subscription-based consumer products creates opportunities to improve and relaunch </w:t>
            </w:r>
            <w:proofErr w:type="spellStart"/>
            <w:r>
              <w:t>Quenchbliss’s</w:t>
            </w:r>
            <w:proofErr w:type="spellEnd"/>
            <w:r>
              <w:t xml:space="preserve"> subscription service with better marketing and customer engagement strategies.</w:t>
            </w:r>
          </w:p>
        </w:tc>
        <w:tc>
          <w:tcPr>
            <w:tcW w:w="7110" w:type="dxa"/>
            <w:tcBorders>
              <w:top w:val="nil"/>
              <w:left w:val="single" w:sz="6" w:space="0" w:color="E0E0E0"/>
              <w:bottom w:val="single" w:sz="6" w:space="0" w:color="E0E0E0"/>
              <w:right w:val="single" w:sz="6" w:space="0" w:color="E0E0E0"/>
            </w:tcBorders>
            <w:tcMar>
              <w:top w:w="100" w:type="dxa"/>
              <w:left w:w="100" w:type="dxa"/>
              <w:bottom w:w="100" w:type="dxa"/>
              <w:right w:w="100" w:type="dxa"/>
            </w:tcMar>
          </w:tcPr>
          <w:p w:rsidR="00E7242E" w:rsidRDefault="00000000">
            <w:r>
              <w:t>High employee turnover threatens operational stability, productivity, and customer service quality. Constant hiring and training increase organizational costs and reduce efficiency.</w:t>
            </w:r>
          </w:p>
        </w:tc>
      </w:tr>
    </w:tbl>
    <w:p w:rsidR="00E7242E" w:rsidRDefault="0096123A">
      <w:r>
        <w:rPr>
          <w:noProof/>
        </w:rPr>
        <w:pict>
          <v:rect id="_x0000_i1027" alt="" style="width:468pt;height:.05pt;mso-width-percent:0;mso-height-percent:0;mso-width-percent:0;mso-height-percent:0" o:hralign="center" o:hrstd="t" o:hr="t" fillcolor="#a0a0a0" stroked="f"/>
        </w:pict>
      </w:r>
    </w:p>
    <w:p w:rsidR="00E7242E" w:rsidRDefault="00000000">
      <w:pPr>
        <w:pStyle w:val="Heading1"/>
        <w:keepNext w:val="0"/>
        <w:keepLines w:val="0"/>
        <w:spacing w:before="460" w:after="240"/>
        <w:rPr>
          <w:b/>
          <w:bCs/>
          <w:sz w:val="46"/>
          <w:szCs w:val="46"/>
        </w:rPr>
      </w:pPr>
      <w:bookmarkStart w:id="2" w:name="_y0iauneyrs3t" w:colFirst="0" w:colLast="0"/>
      <w:bookmarkEnd w:id="2"/>
      <w:r>
        <w:rPr>
          <w:b/>
          <w:bCs/>
          <w:sz w:val="46"/>
          <w:szCs w:val="46"/>
        </w:rPr>
        <w:t>Impact of SWOT Factors on the Organization</w:t>
      </w:r>
    </w:p>
    <w:p w:rsidR="00E7242E" w:rsidRDefault="00000000">
      <w:pPr>
        <w:spacing w:before="120" w:after="120"/>
      </w:pPr>
      <w:r>
        <w:t>One major issue affecting Quenchbliss is the tension between accelerating organizational growth and the company’s informal structure. The organization grew quickly from a small business into an international operation, but leadership has continued to use a highly organic structure in which employees perform multiple roles. According to the Sophia Learning tutorial on organizational change, businesses in growth stages often require more formal systems, communication channels, and role specialization to continue effectively. Without structural adjustments, Quenchbliss may undergo increased confusion, reduced accountability, and lower employee morale.</w:t>
      </w:r>
    </w:p>
    <w:p w:rsidR="00E7242E" w:rsidRDefault="00000000">
      <w:pPr>
        <w:spacing w:before="120" w:after="120"/>
      </w:pPr>
      <w:r>
        <w:t>The company’s employee turnover and compensation issues also create serious organizational challenges. High turnover in warehouse and distribution roles can reduce productivity and weaken organizational culture, as experienced employees leave before developing long-term loyalty to the company. The labor shortage affecting logistics and production industries increases this problem. Quenchbliss should consider improving compensation, offering retention incentives, and creating clearer advancement opportunities to strengthen employee commitment. These changes would help strengthen operations while improving recruitment efforts.</w:t>
      </w:r>
    </w:p>
    <w:p w:rsidR="00E7242E" w:rsidRDefault="00000000">
      <w:pPr>
        <w:spacing w:before="120" w:after="120"/>
      </w:pPr>
      <w:r>
        <w:t>At the same time, Quenchbliss has significant opportunities that can offset these weaknesses. Their creative culture and strong brand identity position the company well within the growing craft beverage market. The company can leverage its cutting-edge reputation to strengthen customer loyalty and increase subscription sales. Using a “bottom-up” organizational change approach, discussed in Sophia Learning’s Appreciative Inquiry tutorial, leadership could involve employees in future planning and innovation discussions to reduce internal friction and improve morale (Sophia Learning, n.d.). Including employees in decision-making may also increase commitment during periods of organizational change.</w:t>
      </w:r>
    </w:p>
    <w:p w:rsidR="00E7242E" w:rsidRDefault="00000000">
      <w:pPr>
        <w:spacing w:before="120" w:after="120"/>
      </w:pPr>
      <w:r>
        <w:t xml:space="preserve">Another important impact involves international expansion. While the Juarez expansion has been successful, expanding too quickly into additional markets could create operational strain </w:t>
      </w:r>
      <w:r>
        <w:lastRenderedPageBreak/>
        <w:t>and financial risk. Quenchbliss must integrate innovation and expansion with corporate stability. Leadership should carefully evaluate staffing, supply chain capacity, and financial resources before entering new markets. Long-term growth strategies will help the company avoid overextension while preserving product quality and client satisfaction.</w:t>
      </w:r>
    </w:p>
    <w:p w:rsidR="00E7242E" w:rsidRDefault="0096123A">
      <w:r>
        <w:rPr>
          <w:noProof/>
        </w:rPr>
        <w:pict>
          <v:rect id="_x0000_i1026" alt="" style="width:468pt;height:.05pt;mso-width-percent:0;mso-height-percent:0;mso-width-percent:0;mso-height-percent:0" o:hralign="center" o:hrstd="t" o:hr="t" fillcolor="#a0a0a0" stroked="f"/>
        </w:pict>
      </w:r>
    </w:p>
    <w:p w:rsidR="00E7242E" w:rsidRDefault="00000000">
      <w:pPr>
        <w:pStyle w:val="Heading1"/>
        <w:keepNext w:val="0"/>
        <w:keepLines w:val="0"/>
        <w:spacing w:before="460" w:after="240"/>
        <w:rPr>
          <w:b/>
          <w:bCs/>
          <w:sz w:val="46"/>
          <w:szCs w:val="46"/>
        </w:rPr>
      </w:pPr>
      <w:bookmarkStart w:id="3" w:name="_vll99v2pcn0r" w:colFirst="0" w:colLast="0"/>
      <w:bookmarkEnd w:id="3"/>
      <w:r>
        <w:rPr>
          <w:b/>
          <w:bCs/>
          <w:sz w:val="46"/>
          <w:szCs w:val="46"/>
        </w:rPr>
        <w:t>Strategic Recommendations</w:t>
      </w:r>
    </w:p>
    <w:p w:rsidR="00E7242E" w:rsidRDefault="00000000">
      <w:pPr>
        <w:spacing w:before="120" w:after="120"/>
      </w:pPr>
      <w:r>
        <w:t>The first recommendation for Quenchbliss is to formalize portions of its organizational structure while maintaining its innovative culture. The company should create clearer departmental responsibilities for production, marketing, distribution, and product development. This would improve accountability and operational output as the organization grows. Leadership should also establish regular communication meetings between departments to preserve collaboration within the company’s creative culture.</w:t>
      </w:r>
    </w:p>
    <w:p w:rsidR="00E7242E" w:rsidRDefault="00000000">
      <w:pPr>
        <w:spacing w:before="120" w:after="120"/>
      </w:pPr>
      <w:r>
        <w:t>One risk associated with increased structure is that employees may feel the organization is becoming excessively rigid or bureaucratic, reducing creativity and flexibility. To reduce this risk, Quenchbliss should implement changes gradually and involve employees in the process. Leadership can leverage cross-functional innovation teams and employee evaluation sessions to sustain creativity while improving organizational stability.</w:t>
      </w:r>
    </w:p>
    <w:p w:rsidR="00E7242E" w:rsidRDefault="00000000">
      <w:pPr>
        <w:spacing w:before="120" w:after="120"/>
      </w:pPr>
      <w:r>
        <w:t>The second recommendation is to improve employee recruitment and retention strategies. Quenchbliss should conduct wage comparisons with similar regional employers and increase pay where financially possible. Additional strategies could include retention bonuses, employee recognition programs, adjustable scheduling, and internal advancement opportunities. These changes would help reduce turnover and strengthen operational consistency.</w:t>
      </w:r>
    </w:p>
    <w:p w:rsidR="00E7242E" w:rsidRDefault="00000000">
      <w:pPr>
        <w:spacing w:before="120" w:after="120"/>
      </w:pPr>
      <w:r>
        <w:t>However, increasing compensation and benefits may raise operating expenses during a period when subscription sales are declining. To reduce financial risk, Quenchbliss could gradually phase in compensation adjustments while focusing on revenue growth through subscription improvements and expanded restaurant partnerships. The company should also strengthen training programs so new employees become productive more quickly, reducing turnover-related costs over time.</w:t>
      </w:r>
    </w:p>
    <w:p w:rsidR="00E7242E" w:rsidRDefault="00000000">
      <w:pPr>
        <w:spacing w:before="120" w:after="120"/>
      </w:pPr>
      <w:r>
        <w:t>Finally, Quenchbliss should focus on developing its subscription business before pursuing additional international expansion. Subscription services match closely with the company’s innovative identity and provide recurring revenue opportunities. Leadership could improve customer engagement by introducing limited-edition flavors, offering loyalty rewards, and running focused social media campaigns. Strengthening key operations first will position the organization better for future international growth.</w:t>
      </w:r>
    </w:p>
    <w:p w:rsidR="00E7242E" w:rsidRDefault="0096123A">
      <w:r>
        <w:rPr>
          <w:noProof/>
        </w:rPr>
        <w:pict>
          <v:rect id="_x0000_i1025" alt="" style="width:468pt;height:.05pt;mso-width-percent:0;mso-height-percent:0;mso-width-percent:0;mso-height-percent:0" o:hralign="center" o:hrstd="t" o:hr="t" fillcolor="#a0a0a0" stroked="f"/>
        </w:pict>
      </w:r>
    </w:p>
    <w:p w:rsidR="00E7242E" w:rsidRDefault="00000000">
      <w:pPr>
        <w:pStyle w:val="Heading1"/>
        <w:keepNext w:val="0"/>
        <w:keepLines w:val="0"/>
        <w:spacing w:before="460" w:after="240"/>
        <w:rPr>
          <w:b/>
          <w:bCs/>
          <w:sz w:val="46"/>
          <w:szCs w:val="46"/>
        </w:rPr>
      </w:pPr>
      <w:bookmarkStart w:id="4" w:name="_f7kc1hc7v74h" w:colFirst="0" w:colLast="0"/>
      <w:bookmarkEnd w:id="4"/>
      <w:r>
        <w:rPr>
          <w:b/>
          <w:bCs/>
          <w:sz w:val="46"/>
          <w:szCs w:val="46"/>
        </w:rPr>
        <w:t>References</w:t>
      </w:r>
    </w:p>
    <w:p w:rsidR="00E7242E" w:rsidRDefault="00000000">
      <w:pPr>
        <w:spacing w:before="120" w:after="120"/>
        <w:rPr>
          <w:color w:val="1155CC"/>
          <w:u w:val="single"/>
        </w:rPr>
      </w:pPr>
      <w:r>
        <w:lastRenderedPageBreak/>
        <w:t xml:space="preserve">Grand View Research. (2025). </w:t>
      </w:r>
      <w:r>
        <w:rPr>
          <w:i/>
          <w:iCs/>
        </w:rPr>
        <w:t>Craft soda market size, share &amp; trends analysis report</w:t>
      </w:r>
      <w:r>
        <w:t>.</w:t>
      </w:r>
      <w:hyperlink r:id="rId4">
        <w:r>
          <w:t xml:space="preserve"> </w:t>
        </w:r>
      </w:hyperlink>
      <w:hyperlink r:id="rId5">
        <w:r>
          <w:rPr>
            <w:color w:val="1155CC"/>
            <w:u w:val="single"/>
          </w:rPr>
          <w:t>https://www.grandviewresearch.com</w:t>
        </w:r>
      </w:hyperlink>
    </w:p>
    <w:p w:rsidR="00E7242E" w:rsidRDefault="00000000">
      <w:pPr>
        <w:spacing w:before="120" w:after="120"/>
        <w:rPr>
          <w:color w:val="1155CC"/>
          <w:u w:val="single"/>
        </w:rPr>
      </w:pPr>
      <w:r>
        <w:t xml:space="preserve">Sophia Learning. (n.d.). </w:t>
      </w:r>
      <w:r>
        <w:rPr>
          <w:i/>
          <w:iCs/>
        </w:rPr>
        <w:t>Appreciative inquiry</w:t>
      </w:r>
      <w:r>
        <w:t>. Organizational Behavior.</w:t>
      </w:r>
      <w:hyperlink r:id="rId6">
        <w:r>
          <w:t xml:space="preserve"> </w:t>
        </w:r>
      </w:hyperlink>
      <w:hyperlink r:id="rId7">
        <w:r>
          <w:rPr>
            <w:color w:val="1155CC"/>
            <w:u w:val="single"/>
          </w:rPr>
          <w:t>https://app.sophia.org</w:t>
        </w:r>
      </w:hyperlink>
    </w:p>
    <w:p w:rsidR="00E7242E" w:rsidRDefault="00000000">
      <w:pPr>
        <w:spacing w:before="120" w:after="120"/>
        <w:rPr>
          <w:color w:val="1155CC"/>
          <w:u w:val="single"/>
        </w:rPr>
      </w:pPr>
      <w:r>
        <w:t xml:space="preserve">Sophia Learning. (n.d.). </w:t>
      </w:r>
      <w:r>
        <w:rPr>
          <w:i/>
          <w:iCs/>
        </w:rPr>
        <w:t>Organizational change</w:t>
      </w:r>
      <w:r>
        <w:t>. Organizational Behavior.</w:t>
      </w:r>
      <w:hyperlink r:id="rId8">
        <w:r>
          <w:t xml:space="preserve"> </w:t>
        </w:r>
      </w:hyperlink>
      <w:hyperlink r:id="rId9">
        <w:r>
          <w:rPr>
            <w:color w:val="1155CC"/>
            <w:u w:val="single"/>
          </w:rPr>
          <w:t>https://app.sophia.org</w:t>
        </w:r>
      </w:hyperlink>
    </w:p>
    <w:p w:rsidR="00E7242E" w:rsidRDefault="00000000">
      <w:pPr>
        <w:spacing w:before="120" w:after="120"/>
        <w:rPr>
          <w:color w:val="1155CC"/>
          <w:u w:val="single"/>
        </w:rPr>
      </w:pPr>
      <w:r>
        <w:t xml:space="preserve">Sophia Learning. (n.d.). </w:t>
      </w:r>
      <w:r>
        <w:rPr>
          <w:i/>
          <w:iCs/>
        </w:rPr>
        <w:t>Complex adaptive systems</w:t>
      </w:r>
      <w:r>
        <w:t>. Organizational Behavior.</w:t>
      </w:r>
      <w:hyperlink r:id="rId10">
        <w:r>
          <w:t xml:space="preserve"> </w:t>
        </w:r>
      </w:hyperlink>
      <w:hyperlink r:id="rId11">
        <w:r>
          <w:rPr>
            <w:color w:val="1155CC"/>
            <w:u w:val="single"/>
          </w:rPr>
          <w:t>https://app.sophia.org</w:t>
        </w:r>
      </w:hyperlink>
    </w:p>
    <w:p w:rsidR="00E7242E" w:rsidRDefault="00000000">
      <w:pPr>
        <w:spacing w:before="120" w:after="120"/>
        <w:rPr>
          <w:color w:val="1155CC"/>
          <w:u w:val="single"/>
        </w:rPr>
      </w:pPr>
      <w:r>
        <w:t xml:space="preserve">U.S. Bureau of Labor Statistics. (2025). </w:t>
      </w:r>
      <w:r>
        <w:rPr>
          <w:i/>
          <w:iCs/>
        </w:rPr>
        <w:t>Occupational Outlook Handbook</w:t>
      </w:r>
      <w:r>
        <w:t>.</w:t>
      </w:r>
      <w:hyperlink r:id="rId12">
        <w:r>
          <w:t xml:space="preserve"> </w:t>
        </w:r>
      </w:hyperlink>
      <w:hyperlink r:id="rId13">
        <w:r>
          <w:rPr>
            <w:color w:val="1155CC"/>
            <w:u w:val="single"/>
          </w:rPr>
          <w:t>https://www.bls.gov/ooh/</w:t>
        </w:r>
      </w:hyperlink>
    </w:p>
    <w:p w:rsidR="00E7242E" w:rsidRDefault="00000000">
      <w:pPr>
        <w:spacing w:before="120" w:after="120"/>
        <w:rPr>
          <w:color w:val="1155CC"/>
          <w:u w:val="single"/>
        </w:rPr>
      </w:pPr>
      <w:r>
        <w:t xml:space="preserve">U.S. Chamber of Commerce. (2025). </w:t>
      </w:r>
      <w:r>
        <w:rPr>
          <w:i/>
          <w:iCs/>
        </w:rPr>
        <w:t>Top challenges facing small businesses in 2025</w:t>
      </w:r>
      <w:r>
        <w:t>.</w:t>
      </w:r>
      <w:hyperlink r:id="rId14">
        <w:r>
          <w:t xml:space="preserve"> </w:t>
        </w:r>
      </w:hyperlink>
      <w:hyperlink r:id="rId15">
        <w:r>
          <w:rPr>
            <w:color w:val="1155CC"/>
            <w:u w:val="single"/>
          </w:rPr>
          <w:t>https://www.uschamber.com</w:t>
        </w:r>
      </w:hyperlink>
    </w:p>
    <w:p w:rsidR="00E7242E" w:rsidRDefault="00000000">
      <w:pPr>
        <w:spacing w:before="120" w:after="120"/>
        <w:rPr>
          <w:color w:val="1155CC"/>
          <w:u w:val="single"/>
        </w:rPr>
      </w:pPr>
      <w:r>
        <w:t xml:space="preserve">World Metrics. (2025). </w:t>
      </w:r>
      <w:r>
        <w:rPr>
          <w:i/>
          <w:iCs/>
        </w:rPr>
        <w:t>Craft soda industry statistics and trends</w:t>
      </w:r>
      <w:r>
        <w:t>.</w:t>
      </w:r>
      <w:hyperlink r:id="rId16">
        <w:r>
          <w:t xml:space="preserve"> </w:t>
        </w:r>
      </w:hyperlink>
      <w:hyperlink r:id="rId17">
        <w:r>
          <w:rPr>
            <w:color w:val="1155CC"/>
            <w:u w:val="single"/>
          </w:rPr>
          <w:t>https://worldmetrics.org</w:t>
        </w:r>
      </w:hyperlink>
    </w:p>
    <w:p w:rsidR="00E7242E" w:rsidRDefault="00E7242E"/>
    <w:sectPr w:rsidR="00E7242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13E2DF38-8900-FD4A-9FD2-B7D66CF3BFBA}"/>
    <w:embedBold r:id="rId2" w:fontKey="{E998E7B4-2608-1F46-B5F1-F6FFAA8F0EE1}"/>
    <w:embedItalic r:id="rId3" w:fontKey="{B9528B6B-B721-C941-B1B9-3D55FDBB644C}"/>
  </w:font>
  <w:font w:name="Times New Roman">
    <w:panose1 w:val="02020603050405020304"/>
    <w:charset w:val="00"/>
    <w:family w:val="roman"/>
    <w:pitch w:val="variable"/>
    <w:sig w:usb0="E0002EFF" w:usb1="C000785B" w:usb2="00000009" w:usb3="00000000" w:csb0="000001FF" w:csb1="00000000"/>
    <w:embedRegular r:id="rId4" w:fontKey="{7FD33341-D067-2842-931C-DB5E12336F76}"/>
  </w:font>
  <w:font w:name="Calibri">
    <w:panose1 w:val="020F0502020204030204"/>
    <w:charset w:val="00"/>
    <w:family w:val="swiss"/>
    <w:pitch w:val="variable"/>
    <w:sig w:usb0="E4002EFF" w:usb1="C000247B" w:usb2="00000009" w:usb3="00000000" w:csb0="000001FF" w:csb1="00000000"/>
    <w:embedRegular r:id="rId5" w:fontKey="{674FE65B-AE49-3248-8094-1AEE3AC17EC3}"/>
  </w:font>
  <w:font w:name="Cambria">
    <w:panose1 w:val="02040503050406030204"/>
    <w:charset w:val="00"/>
    <w:family w:val="roman"/>
    <w:pitch w:val="variable"/>
    <w:sig w:usb0="E00006FF" w:usb1="420024FF" w:usb2="02000000" w:usb3="00000000" w:csb0="0000019F" w:csb1="00000000"/>
    <w:embedRegular r:id="rId6" w:fontKey="{A041A186-51AB-4C40-A26D-E0E46D40669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42E"/>
    <w:rsid w:val="00242EEC"/>
    <w:rsid w:val="0096123A"/>
    <w:rsid w:val="00E724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2D37A"/>
  <w15:docId w15:val="{ABE0C7B5-FD94-0847-82D9-276E3D34B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app.sophia.org" TargetMode="External"/><Relationship Id="rId13" Type="http://schemas.openxmlformats.org/officeDocument/2006/relationships/hyperlink" Target="https://www.bls.gov/ooh/"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app.sophia.org" TargetMode="External"/><Relationship Id="rId12" Type="http://schemas.openxmlformats.org/officeDocument/2006/relationships/hyperlink" Target="https://www.bls.gov/ooh/" TargetMode="External"/><Relationship Id="rId17" Type="http://schemas.openxmlformats.org/officeDocument/2006/relationships/hyperlink" Target="https://worldmetrics.org" TargetMode="External"/><Relationship Id="rId2" Type="http://schemas.openxmlformats.org/officeDocument/2006/relationships/settings" Target="settings.xml"/><Relationship Id="rId16" Type="http://schemas.openxmlformats.org/officeDocument/2006/relationships/hyperlink" Target="https://worldmetrics.org" TargetMode="External"/><Relationship Id="rId1" Type="http://schemas.openxmlformats.org/officeDocument/2006/relationships/styles" Target="styles.xml"/><Relationship Id="rId6" Type="http://schemas.openxmlformats.org/officeDocument/2006/relationships/hyperlink" Target="https://app.sophia.org" TargetMode="External"/><Relationship Id="rId11" Type="http://schemas.openxmlformats.org/officeDocument/2006/relationships/hyperlink" Target="https://app.sophia.org" TargetMode="External"/><Relationship Id="rId5" Type="http://schemas.openxmlformats.org/officeDocument/2006/relationships/hyperlink" Target="https://www.grandviewresearch.com" TargetMode="External"/><Relationship Id="rId15" Type="http://schemas.openxmlformats.org/officeDocument/2006/relationships/hyperlink" Target="https://www.uschamber.com" TargetMode="External"/><Relationship Id="rId10" Type="http://schemas.openxmlformats.org/officeDocument/2006/relationships/hyperlink" Target="https://app.sophia.org" TargetMode="External"/><Relationship Id="rId19" Type="http://schemas.openxmlformats.org/officeDocument/2006/relationships/theme" Target="theme/theme1.xml"/><Relationship Id="rId4" Type="http://schemas.openxmlformats.org/officeDocument/2006/relationships/hyperlink" Target="https://www.grandviewresearch.com" TargetMode="External"/><Relationship Id="rId9" Type="http://schemas.openxmlformats.org/officeDocument/2006/relationships/hyperlink" Target="https://app.sophia.org" TargetMode="External"/><Relationship Id="rId14" Type="http://schemas.openxmlformats.org/officeDocument/2006/relationships/hyperlink" Target="https://www.uschamb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1464</Words>
  <Characters>8348</Characters>
  <Application>Microsoft Office Word</Application>
  <DocSecurity>0</DocSecurity>
  <Lines>69</Lines>
  <Paragraphs>19</Paragraphs>
  <ScaleCrop>false</ScaleCrop>
  <Company/>
  <LinksUpToDate>false</LinksUpToDate>
  <CharactersWithSpaces>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2026-06-13T20:02:00Z</dcterms:created>
  <dcterms:modified xsi:type="dcterms:W3CDTF">2026-06-13T20:04:00Z</dcterms:modified>
</cp:coreProperties>
</file>